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7BC8A" w14:textId="77777777" w:rsidR="00B5155B" w:rsidRPr="00D31147" w:rsidRDefault="00B5155B" w:rsidP="00542874">
      <w:pPr>
        <w:ind w:firstLine="426"/>
        <w:jc w:val="center"/>
        <w:rPr>
          <w:b/>
          <w:sz w:val="24"/>
          <w:szCs w:val="24"/>
        </w:rPr>
      </w:pPr>
      <w:r w:rsidRPr="00D31147">
        <w:rPr>
          <w:b/>
          <w:sz w:val="24"/>
          <w:szCs w:val="24"/>
        </w:rPr>
        <w:t>RAPORT Z OPINIOWANIA I KONSULTACJI PUBLICZNYCH</w:t>
      </w:r>
    </w:p>
    <w:p w14:paraId="22B8BA93" w14:textId="77777777" w:rsidR="00B5155B" w:rsidRPr="00D31147" w:rsidRDefault="00B5155B" w:rsidP="00B5155B">
      <w:pPr>
        <w:ind w:firstLine="426"/>
        <w:jc w:val="center"/>
        <w:rPr>
          <w:b/>
          <w:sz w:val="24"/>
          <w:szCs w:val="24"/>
        </w:rPr>
      </w:pPr>
      <w:r w:rsidRPr="00D31147">
        <w:rPr>
          <w:b/>
          <w:sz w:val="24"/>
          <w:szCs w:val="24"/>
        </w:rPr>
        <w:t>PROJEKTU ROZPORZĄDZENIA MINISTRA FINANSÓW</w:t>
      </w:r>
    </w:p>
    <w:p w14:paraId="23DA54F9" w14:textId="390A1EE0" w:rsidR="00B5155B" w:rsidRDefault="00BA42F0" w:rsidP="00834940">
      <w:pPr>
        <w:ind w:firstLine="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 SPRAWIE PRZEKAZYWANIA TYTUŁU WYKONAWCZEGO I INNYCH DOKUMENTÓW DO ORGANU EGZEKUCYJNEGO</w:t>
      </w:r>
    </w:p>
    <w:p w14:paraId="544F54BC" w14:textId="77777777" w:rsidR="00087CD3" w:rsidRDefault="00087CD3" w:rsidP="00834940">
      <w:pPr>
        <w:ind w:firstLine="426"/>
        <w:jc w:val="center"/>
        <w:rPr>
          <w:b/>
          <w:sz w:val="24"/>
          <w:szCs w:val="24"/>
        </w:rPr>
      </w:pPr>
    </w:p>
    <w:p w14:paraId="7DC35071" w14:textId="77777777" w:rsidR="000623C1" w:rsidRPr="00834940" w:rsidRDefault="000623C1" w:rsidP="00834940">
      <w:pPr>
        <w:ind w:firstLine="426"/>
        <w:jc w:val="center"/>
        <w:rPr>
          <w:bCs/>
          <w:sz w:val="24"/>
          <w:szCs w:val="24"/>
        </w:rPr>
      </w:pPr>
    </w:p>
    <w:p w14:paraId="09FA9772" w14:textId="48F20ACB" w:rsidR="00B5155B" w:rsidRPr="00D31147" w:rsidRDefault="00B5155B" w:rsidP="000623C1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D31147">
        <w:rPr>
          <w:rFonts w:ascii="Times New Roman" w:eastAsiaTheme="minorHAnsi" w:hAnsi="Times New Roman"/>
          <w:b/>
          <w:sz w:val="24"/>
          <w:szCs w:val="24"/>
        </w:rPr>
        <w:t>1.</w:t>
      </w:r>
      <w:r w:rsidRPr="00D31147">
        <w:rPr>
          <w:rFonts w:ascii="Times New Roman" w:eastAsiaTheme="minorHAnsi" w:hAnsi="Times New Roman"/>
          <w:b/>
          <w:sz w:val="24"/>
          <w:szCs w:val="24"/>
        </w:rPr>
        <w:tab/>
        <w:t>Omówienie wyników przeprowadzanych konsultacji publicznych i opiniowania</w:t>
      </w:r>
      <w:r w:rsidR="000623C1">
        <w:rPr>
          <w:rFonts w:ascii="Times New Roman" w:eastAsiaTheme="minorHAnsi" w:hAnsi="Times New Roman"/>
          <w:b/>
          <w:sz w:val="24"/>
          <w:szCs w:val="24"/>
        </w:rPr>
        <w:t>.</w:t>
      </w:r>
    </w:p>
    <w:p w14:paraId="6D90B2B9" w14:textId="0C07A33A" w:rsidR="00B5155B" w:rsidRPr="00456C86" w:rsidRDefault="00B5155B" w:rsidP="000623C1">
      <w:pPr>
        <w:spacing w:before="120" w:after="120"/>
        <w:jc w:val="both"/>
        <w:rPr>
          <w:bCs/>
          <w:sz w:val="24"/>
          <w:szCs w:val="24"/>
        </w:rPr>
      </w:pPr>
      <w:r w:rsidRPr="00456C86">
        <w:rPr>
          <w:sz w:val="24"/>
          <w:szCs w:val="24"/>
        </w:rPr>
        <w:t>Zgodnie z art. 5 ustawy z dnia 7 lipca 2005 r. o działalności lobbingowej w procesie stanowienia prawa</w:t>
      </w:r>
      <w:r w:rsidR="003976BC" w:rsidRPr="00456C86">
        <w:rPr>
          <w:sz w:val="24"/>
          <w:szCs w:val="24"/>
        </w:rPr>
        <w:t xml:space="preserve"> (Dz. U. z 2017 r. poz. 248)</w:t>
      </w:r>
      <w:r w:rsidRPr="00456C86">
        <w:rPr>
          <w:sz w:val="24"/>
          <w:szCs w:val="24"/>
        </w:rPr>
        <w:t xml:space="preserve"> projekt rozporządzenia Ministra Finansów</w:t>
      </w:r>
      <w:r w:rsidR="00BA42F0" w:rsidRPr="00456C86">
        <w:rPr>
          <w:sz w:val="24"/>
          <w:szCs w:val="24"/>
        </w:rPr>
        <w:t xml:space="preserve"> w sprawie przekazywania tytułu wykonawczego i innych dokumentów</w:t>
      </w:r>
      <w:r w:rsidR="00420AF6" w:rsidRPr="00456C86">
        <w:rPr>
          <w:sz w:val="24"/>
          <w:szCs w:val="24"/>
        </w:rPr>
        <w:t xml:space="preserve"> </w:t>
      </w:r>
      <w:r w:rsidRPr="00456C86">
        <w:rPr>
          <w:sz w:val="24"/>
          <w:szCs w:val="24"/>
        </w:rPr>
        <w:t>został udostępniony w</w:t>
      </w:r>
      <w:r w:rsidR="00B23446" w:rsidRPr="00456C86">
        <w:t xml:space="preserve"> </w:t>
      </w:r>
      <w:r w:rsidRPr="00456C86">
        <w:rPr>
          <w:sz w:val="24"/>
          <w:szCs w:val="24"/>
        </w:rPr>
        <w:t>Biul</w:t>
      </w:r>
      <w:r w:rsidR="00C10309" w:rsidRPr="00456C86">
        <w:rPr>
          <w:sz w:val="24"/>
          <w:szCs w:val="24"/>
        </w:rPr>
        <w:t>etynie Informacji Publicznej na</w:t>
      </w:r>
      <w:r w:rsidR="001507BD">
        <w:rPr>
          <w:sz w:val="24"/>
          <w:szCs w:val="24"/>
        </w:rPr>
        <w:t xml:space="preserve"> </w:t>
      </w:r>
      <w:r w:rsidRPr="00456C86">
        <w:rPr>
          <w:sz w:val="24"/>
          <w:szCs w:val="24"/>
        </w:rPr>
        <w:t>stronie internetowej Rządowego Centrum Legisl</w:t>
      </w:r>
      <w:r w:rsidR="00834940" w:rsidRPr="00456C86">
        <w:rPr>
          <w:sz w:val="24"/>
          <w:szCs w:val="24"/>
        </w:rPr>
        <w:t>acji.</w:t>
      </w:r>
    </w:p>
    <w:p w14:paraId="632559E4" w14:textId="7FA31A4F" w:rsidR="002F2FF1" w:rsidRPr="00456C86" w:rsidRDefault="00B5155B" w:rsidP="000623C1">
      <w:pPr>
        <w:spacing w:before="120" w:after="120"/>
        <w:jc w:val="both"/>
        <w:rPr>
          <w:bCs/>
          <w:sz w:val="24"/>
          <w:szCs w:val="24"/>
        </w:rPr>
      </w:pPr>
      <w:r w:rsidRPr="00456C86">
        <w:rPr>
          <w:sz w:val="24"/>
          <w:szCs w:val="24"/>
        </w:rPr>
        <w:t>Projekt rozporządzenia</w:t>
      </w:r>
      <w:r w:rsidRPr="00456C86">
        <w:rPr>
          <w:i/>
          <w:sz w:val="24"/>
          <w:szCs w:val="24"/>
        </w:rPr>
        <w:t xml:space="preserve"> </w:t>
      </w:r>
      <w:r w:rsidRPr="00456C86">
        <w:rPr>
          <w:sz w:val="24"/>
          <w:szCs w:val="24"/>
        </w:rPr>
        <w:t xml:space="preserve">skierowano do konsultacji publicznych i opiniowania </w:t>
      </w:r>
      <w:r w:rsidR="005979A9" w:rsidRPr="00456C86">
        <w:rPr>
          <w:sz w:val="24"/>
          <w:szCs w:val="24"/>
        </w:rPr>
        <w:t>następującym podmiot</w:t>
      </w:r>
      <w:r w:rsidR="00D31147" w:rsidRPr="00456C86">
        <w:rPr>
          <w:sz w:val="24"/>
          <w:szCs w:val="24"/>
        </w:rPr>
        <w:t>om</w:t>
      </w:r>
      <w:r w:rsidR="005979A9" w:rsidRPr="00456C86">
        <w:rPr>
          <w:sz w:val="24"/>
          <w:szCs w:val="24"/>
        </w:rPr>
        <w:t>:</w:t>
      </w:r>
      <w:r w:rsidR="00456C86" w:rsidRPr="00456C86">
        <w:rPr>
          <w:bCs/>
          <w:sz w:val="24"/>
          <w:szCs w:val="24"/>
        </w:rPr>
        <w:t xml:space="preserve"> Unii Metropolii Polskich, Związkowi Miast Polskich, Związkowi Województw Rzeczypospolitej Polskiej, Związkowi Gmin Wiejskich Rzeczypospolitej Polskiej, Zakładowi Ubezpieczeń Społecznych, Kasie Rolniczego Ubezpieczenia Społecznego, Prezesowi Urzędu Ochrony Danych Osobowych, Ubezpieczeniowemu Funduszowi Gwarancyjn</w:t>
      </w:r>
      <w:r w:rsidR="000623C1">
        <w:rPr>
          <w:bCs/>
          <w:sz w:val="24"/>
          <w:szCs w:val="24"/>
        </w:rPr>
        <w:t xml:space="preserve">emu, </w:t>
      </w:r>
      <w:r w:rsidR="00456C86" w:rsidRPr="00456C86">
        <w:rPr>
          <w:bCs/>
          <w:sz w:val="24"/>
          <w:szCs w:val="24"/>
        </w:rPr>
        <w:t>Poczcie Polskiej S.A., Agencji Mienia Wojskowego, Agencji Restrukturyzacji i Modernizacji Rolnictwa</w:t>
      </w:r>
      <w:r w:rsidR="002F2FF1" w:rsidRPr="00456C86">
        <w:rPr>
          <w:bCs/>
          <w:sz w:val="24"/>
          <w:szCs w:val="24"/>
        </w:rPr>
        <w:t>.</w:t>
      </w:r>
    </w:p>
    <w:p w14:paraId="5590EB8A" w14:textId="5182569E" w:rsidR="00C363C2" w:rsidRPr="00456C86" w:rsidRDefault="00F11A97" w:rsidP="00C363C2">
      <w:pPr>
        <w:spacing w:before="120" w:after="120"/>
        <w:jc w:val="both"/>
        <w:rPr>
          <w:sz w:val="24"/>
          <w:szCs w:val="24"/>
        </w:rPr>
      </w:pPr>
      <w:r w:rsidRPr="00456C86">
        <w:rPr>
          <w:bCs/>
          <w:sz w:val="24"/>
          <w:szCs w:val="24"/>
        </w:rPr>
        <w:t>Projekt rozporządzenia dotyczy funkcjonowania samorządu terytorialnego, w związku z czym został przedstawiony do opinii Komisji Wspólnej Rządu i Samorządu Terytorialnego</w:t>
      </w:r>
      <w:r w:rsidR="00456C86" w:rsidRPr="00456C86">
        <w:rPr>
          <w:bCs/>
          <w:sz w:val="24"/>
          <w:szCs w:val="24"/>
        </w:rPr>
        <w:t xml:space="preserve"> </w:t>
      </w:r>
      <w:r w:rsidR="006C6B74" w:rsidRPr="00456C86">
        <w:rPr>
          <w:bCs/>
          <w:sz w:val="24"/>
          <w:szCs w:val="24"/>
        </w:rPr>
        <w:t>(</w:t>
      </w:r>
      <w:proofErr w:type="spellStart"/>
      <w:r w:rsidR="006C6B74" w:rsidRPr="00456C86">
        <w:rPr>
          <w:bCs/>
          <w:sz w:val="24"/>
          <w:szCs w:val="24"/>
        </w:rPr>
        <w:t>KWRiST</w:t>
      </w:r>
      <w:proofErr w:type="spellEnd"/>
      <w:r w:rsidR="006C6B74" w:rsidRPr="00456C86">
        <w:rPr>
          <w:bCs/>
          <w:sz w:val="24"/>
          <w:szCs w:val="24"/>
        </w:rPr>
        <w:t>)</w:t>
      </w:r>
      <w:r w:rsidRPr="00456C86">
        <w:rPr>
          <w:bCs/>
          <w:sz w:val="24"/>
          <w:szCs w:val="24"/>
        </w:rPr>
        <w:t>.</w:t>
      </w:r>
      <w:r w:rsidR="002E22AC" w:rsidRPr="00456C86">
        <w:rPr>
          <w:bCs/>
          <w:sz w:val="24"/>
          <w:szCs w:val="24"/>
        </w:rPr>
        <w:t xml:space="preserve"> </w:t>
      </w:r>
      <w:r w:rsidR="00C363C2" w:rsidRPr="00456C86">
        <w:rPr>
          <w:bCs/>
          <w:sz w:val="24"/>
          <w:szCs w:val="24"/>
        </w:rPr>
        <w:t xml:space="preserve">W dniu </w:t>
      </w:r>
      <w:r w:rsidR="00C363C2">
        <w:rPr>
          <w:bCs/>
          <w:sz w:val="24"/>
          <w:szCs w:val="24"/>
        </w:rPr>
        <w:t>29</w:t>
      </w:r>
      <w:r w:rsidR="00C363C2" w:rsidRPr="00456C86">
        <w:rPr>
          <w:bCs/>
          <w:sz w:val="24"/>
          <w:szCs w:val="24"/>
        </w:rPr>
        <w:t xml:space="preserve"> listopada 2023 r. projekt rozporządzenia został pozytywnie zaopiniowany przez</w:t>
      </w:r>
      <w:r w:rsidR="001507BD">
        <w:rPr>
          <w:bCs/>
          <w:sz w:val="24"/>
          <w:szCs w:val="24"/>
        </w:rPr>
        <w:t xml:space="preserve"> </w:t>
      </w:r>
      <w:proofErr w:type="spellStart"/>
      <w:r w:rsidR="00C363C2" w:rsidRPr="00456C86">
        <w:rPr>
          <w:bCs/>
          <w:sz w:val="24"/>
          <w:szCs w:val="24"/>
        </w:rPr>
        <w:t>KWRiST</w:t>
      </w:r>
      <w:proofErr w:type="spellEnd"/>
      <w:r w:rsidR="00C363C2" w:rsidRPr="00456C86">
        <w:rPr>
          <w:bCs/>
          <w:sz w:val="24"/>
          <w:szCs w:val="24"/>
        </w:rPr>
        <w:t>.</w:t>
      </w:r>
    </w:p>
    <w:p w14:paraId="26D35D45" w14:textId="7DB9D719" w:rsidR="00C436F0" w:rsidRPr="00456C86" w:rsidRDefault="00D53607" w:rsidP="000623C1">
      <w:pPr>
        <w:autoSpaceDE w:val="0"/>
        <w:autoSpaceDN w:val="0"/>
        <w:adjustRightInd w:val="0"/>
        <w:spacing w:before="120" w:after="120"/>
        <w:jc w:val="both"/>
        <w:rPr>
          <w:rFonts w:eastAsiaTheme="minorHAnsi"/>
          <w:sz w:val="24"/>
          <w:szCs w:val="24"/>
          <w:lang w:eastAsia="en-US"/>
        </w:rPr>
      </w:pPr>
      <w:r>
        <w:rPr>
          <w:bCs/>
          <w:sz w:val="24"/>
          <w:szCs w:val="24"/>
        </w:rPr>
        <w:t xml:space="preserve">W </w:t>
      </w:r>
      <w:r w:rsidRPr="00F2656D">
        <w:rPr>
          <w:bCs/>
          <w:sz w:val="24"/>
          <w:szCs w:val="24"/>
        </w:rPr>
        <w:t xml:space="preserve">ramach opiniowania projektu rozporządzenia przez </w:t>
      </w:r>
      <w:proofErr w:type="spellStart"/>
      <w:r w:rsidRPr="00F2656D">
        <w:rPr>
          <w:bCs/>
          <w:sz w:val="24"/>
          <w:szCs w:val="24"/>
        </w:rPr>
        <w:t>KWRiST</w:t>
      </w:r>
      <w:proofErr w:type="spellEnd"/>
      <w:r w:rsidRPr="00F2656D">
        <w:rPr>
          <w:bCs/>
          <w:sz w:val="24"/>
          <w:szCs w:val="24"/>
        </w:rPr>
        <w:t xml:space="preserve"> </w:t>
      </w:r>
      <w:r w:rsidR="002E22AC" w:rsidRPr="00456C86">
        <w:rPr>
          <w:bCs/>
          <w:sz w:val="24"/>
          <w:szCs w:val="24"/>
        </w:rPr>
        <w:t>uwagi</w:t>
      </w:r>
      <w:r w:rsidR="002F2FF1" w:rsidRPr="00456C86">
        <w:rPr>
          <w:bCs/>
          <w:sz w:val="24"/>
          <w:szCs w:val="24"/>
        </w:rPr>
        <w:t xml:space="preserve"> </w:t>
      </w:r>
      <w:r w:rsidR="00B16196" w:rsidRPr="00456C86">
        <w:rPr>
          <w:rFonts w:eastAsiaTheme="minorHAnsi"/>
          <w:sz w:val="24"/>
          <w:szCs w:val="24"/>
          <w:lang w:eastAsia="en-US"/>
        </w:rPr>
        <w:t xml:space="preserve">zgłosiły Urząd Miasta Lublina i Urząd Miejski Wrocławia. </w:t>
      </w:r>
    </w:p>
    <w:p w14:paraId="44D33A95" w14:textId="72DE91C1" w:rsidR="00B16196" w:rsidRPr="00D53607" w:rsidRDefault="00D53607" w:rsidP="00D53607">
      <w:pPr>
        <w:spacing w:before="120" w:after="60"/>
        <w:jc w:val="both"/>
        <w:rPr>
          <w:bCs/>
          <w:i/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 xml:space="preserve">Uwagi </w:t>
      </w:r>
      <w:r w:rsidR="00B330FE" w:rsidRPr="00D53607">
        <w:rPr>
          <w:rFonts w:eastAsiaTheme="minorHAnsi"/>
          <w:sz w:val="24"/>
          <w:szCs w:val="24"/>
          <w:lang w:eastAsia="en-US"/>
        </w:rPr>
        <w:t>Urz</w:t>
      </w:r>
      <w:r>
        <w:rPr>
          <w:rFonts w:eastAsiaTheme="minorHAnsi"/>
          <w:sz w:val="24"/>
          <w:szCs w:val="24"/>
          <w:lang w:eastAsia="en-US"/>
        </w:rPr>
        <w:t>ę</w:t>
      </w:r>
      <w:r w:rsidR="00B330FE" w:rsidRPr="00D53607">
        <w:rPr>
          <w:rFonts w:eastAsiaTheme="minorHAnsi"/>
          <w:sz w:val="24"/>
          <w:szCs w:val="24"/>
          <w:lang w:eastAsia="en-US"/>
        </w:rPr>
        <w:t>d</w:t>
      </w:r>
      <w:r>
        <w:rPr>
          <w:rFonts w:eastAsiaTheme="minorHAnsi"/>
          <w:sz w:val="24"/>
          <w:szCs w:val="24"/>
          <w:lang w:eastAsia="en-US"/>
        </w:rPr>
        <w:t>ów</w:t>
      </w:r>
      <w:r w:rsidR="00B330FE" w:rsidRPr="00D53607">
        <w:rPr>
          <w:rFonts w:eastAsiaTheme="minorHAnsi"/>
          <w:sz w:val="24"/>
          <w:szCs w:val="24"/>
          <w:lang w:eastAsia="en-US"/>
        </w:rPr>
        <w:t xml:space="preserve"> Miast Lublina</w:t>
      </w:r>
      <w:r>
        <w:rPr>
          <w:rFonts w:eastAsiaTheme="minorHAnsi"/>
          <w:sz w:val="24"/>
          <w:szCs w:val="24"/>
          <w:lang w:eastAsia="en-US"/>
        </w:rPr>
        <w:t xml:space="preserve"> i Wrocławia</w:t>
      </w:r>
      <w:r w:rsidR="00B330FE" w:rsidRPr="00D53607">
        <w:rPr>
          <w:rFonts w:eastAsiaTheme="minorHAnsi"/>
          <w:sz w:val="24"/>
          <w:szCs w:val="24"/>
          <w:lang w:eastAsia="en-US"/>
        </w:rPr>
        <w:t xml:space="preserve"> dotycz</w:t>
      </w:r>
      <w:r>
        <w:rPr>
          <w:rFonts w:eastAsiaTheme="minorHAnsi"/>
          <w:sz w:val="24"/>
          <w:szCs w:val="24"/>
          <w:lang w:eastAsia="en-US"/>
        </w:rPr>
        <w:t>yły</w:t>
      </w:r>
      <w:r w:rsidR="00B16196" w:rsidRPr="00D53607">
        <w:rPr>
          <w:rFonts w:eastAsiaTheme="minorHAnsi"/>
          <w:sz w:val="24"/>
          <w:szCs w:val="24"/>
          <w:lang w:eastAsia="en-US"/>
        </w:rPr>
        <w:t>:</w:t>
      </w:r>
    </w:p>
    <w:p w14:paraId="7405F1E3" w14:textId="193A708C" w:rsidR="009D0087" w:rsidRDefault="00B330FE" w:rsidP="00D5360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6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53607">
        <w:rPr>
          <w:rFonts w:ascii="Times New Roman" w:eastAsiaTheme="minorHAnsi" w:hAnsi="Times New Roman"/>
          <w:sz w:val="24"/>
          <w:szCs w:val="24"/>
        </w:rPr>
        <w:t>rezygnacji z przepisu dotyczącego udostępniania tytułu wykonawczego</w:t>
      </w:r>
      <w:r w:rsidR="00605945">
        <w:rPr>
          <w:rFonts w:ascii="Times New Roman" w:eastAsiaTheme="minorHAnsi" w:hAnsi="Times New Roman"/>
          <w:sz w:val="24"/>
          <w:szCs w:val="24"/>
        </w:rPr>
        <w:t>,</w:t>
      </w:r>
    </w:p>
    <w:p w14:paraId="6DCA943C" w14:textId="5C04C1C7" w:rsidR="00D82208" w:rsidRDefault="00D82208" w:rsidP="00D5360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6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6C86">
        <w:rPr>
          <w:rFonts w:ascii="Times New Roman" w:eastAsiaTheme="minorHAnsi" w:hAnsi="Times New Roman"/>
          <w:sz w:val="24"/>
          <w:szCs w:val="24"/>
        </w:rPr>
        <w:t>niezrozumiałego użycia sformułowania „udostępnianie tytułu wykonawczego”</w:t>
      </w:r>
      <w:r w:rsidR="00605945">
        <w:rPr>
          <w:rFonts w:ascii="Times New Roman" w:eastAsiaTheme="minorHAnsi" w:hAnsi="Times New Roman"/>
          <w:sz w:val="24"/>
          <w:szCs w:val="24"/>
        </w:rPr>
        <w:t>,</w:t>
      </w:r>
    </w:p>
    <w:p w14:paraId="7FE73366" w14:textId="5885B40F" w:rsidR="00D53607" w:rsidRPr="000623C1" w:rsidRDefault="00D53607" w:rsidP="00D5360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623C1">
        <w:rPr>
          <w:rFonts w:ascii="Times New Roman" w:eastAsiaTheme="minorHAnsi" w:hAnsi="Times New Roman"/>
          <w:sz w:val="24"/>
          <w:szCs w:val="24"/>
        </w:rPr>
        <w:t>doregulowania spos</w:t>
      </w:r>
      <w:r>
        <w:rPr>
          <w:rFonts w:ascii="Times New Roman" w:eastAsiaTheme="minorHAnsi" w:hAnsi="Times New Roman"/>
          <w:sz w:val="24"/>
          <w:szCs w:val="24"/>
        </w:rPr>
        <w:t>obu</w:t>
      </w:r>
      <w:r w:rsidRPr="000623C1">
        <w:rPr>
          <w:rFonts w:ascii="Times New Roman" w:eastAsiaTheme="minorHAnsi" w:hAnsi="Times New Roman"/>
          <w:sz w:val="24"/>
          <w:szCs w:val="24"/>
        </w:rPr>
        <w:t xml:space="preserve"> posługiwania się tytułem wykonawczym, w</w:t>
      </w:r>
      <w:r w:rsidR="001507BD">
        <w:rPr>
          <w:rFonts w:ascii="Times New Roman" w:eastAsiaTheme="minorHAnsi" w:hAnsi="Times New Roman"/>
          <w:sz w:val="24"/>
          <w:szCs w:val="24"/>
        </w:rPr>
        <w:t xml:space="preserve"> </w:t>
      </w:r>
      <w:r w:rsidRPr="000623C1">
        <w:rPr>
          <w:rFonts w:ascii="Times New Roman" w:eastAsiaTheme="minorHAnsi" w:hAnsi="Times New Roman"/>
          <w:sz w:val="24"/>
          <w:szCs w:val="24"/>
        </w:rPr>
        <w:t>tym</w:t>
      </w:r>
      <w:r w:rsidR="001507BD">
        <w:rPr>
          <w:rFonts w:ascii="Times New Roman" w:eastAsiaTheme="minorHAnsi" w:hAnsi="Times New Roman"/>
          <w:sz w:val="24"/>
          <w:szCs w:val="24"/>
        </w:rPr>
        <w:t xml:space="preserve"> </w:t>
      </w:r>
      <w:r w:rsidRPr="000623C1">
        <w:rPr>
          <w:rFonts w:ascii="Times New Roman" w:eastAsiaTheme="minorHAnsi" w:hAnsi="Times New Roman"/>
          <w:sz w:val="24"/>
          <w:szCs w:val="24"/>
        </w:rPr>
        <w:t>przekazywania wydruku tytułu wykonawczego</w:t>
      </w:r>
      <w:r w:rsidR="00605945">
        <w:rPr>
          <w:rFonts w:ascii="Times New Roman" w:eastAsiaTheme="minorHAnsi" w:hAnsi="Times New Roman"/>
          <w:sz w:val="24"/>
          <w:szCs w:val="24"/>
        </w:rPr>
        <w:t xml:space="preserve"> w celu jego doręczenia,</w:t>
      </w:r>
    </w:p>
    <w:p w14:paraId="3EA5F650" w14:textId="12723695" w:rsidR="00D53607" w:rsidRPr="00D53607" w:rsidRDefault="00D53607" w:rsidP="00D5360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6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6C86">
        <w:rPr>
          <w:rFonts w:ascii="Times New Roman" w:eastAsiaTheme="minorHAnsi" w:hAnsi="Times New Roman"/>
          <w:sz w:val="24"/>
          <w:szCs w:val="24"/>
        </w:rPr>
        <w:t>organów egzekucyjnych, o których mowa w § 4 ust. 1 projektu, niebędących naczelnikiem urzędu skarbowego</w:t>
      </w:r>
      <w:r w:rsidR="00605945">
        <w:rPr>
          <w:rFonts w:ascii="Times New Roman" w:eastAsiaTheme="minorHAnsi" w:hAnsi="Times New Roman"/>
          <w:sz w:val="24"/>
          <w:szCs w:val="24"/>
        </w:rPr>
        <w:t>.</w:t>
      </w:r>
    </w:p>
    <w:p w14:paraId="3CAA0A10" w14:textId="1C597ECA" w:rsidR="009D0087" w:rsidRPr="00456C86" w:rsidRDefault="009D0087" w:rsidP="000623C1">
      <w:pPr>
        <w:autoSpaceDE w:val="0"/>
        <w:autoSpaceDN w:val="0"/>
        <w:adjustRightInd w:val="0"/>
        <w:spacing w:before="120" w:after="120"/>
        <w:jc w:val="both"/>
        <w:rPr>
          <w:rFonts w:eastAsiaTheme="minorHAnsi"/>
          <w:sz w:val="24"/>
          <w:szCs w:val="24"/>
        </w:rPr>
      </w:pPr>
      <w:r w:rsidRPr="00456C86">
        <w:rPr>
          <w:rFonts w:eastAsiaTheme="minorHAnsi"/>
          <w:sz w:val="24"/>
          <w:szCs w:val="24"/>
        </w:rPr>
        <w:t>Uwag</w:t>
      </w:r>
      <w:r w:rsidR="003A135B">
        <w:rPr>
          <w:rFonts w:eastAsiaTheme="minorHAnsi"/>
          <w:sz w:val="24"/>
          <w:szCs w:val="24"/>
        </w:rPr>
        <w:t>i</w:t>
      </w:r>
      <w:r w:rsidRPr="00456C86">
        <w:rPr>
          <w:rFonts w:eastAsiaTheme="minorHAnsi"/>
          <w:sz w:val="24"/>
          <w:szCs w:val="24"/>
        </w:rPr>
        <w:t xml:space="preserve"> </w:t>
      </w:r>
      <w:r w:rsidR="00605945">
        <w:rPr>
          <w:rFonts w:eastAsiaTheme="minorHAnsi"/>
          <w:sz w:val="24"/>
          <w:szCs w:val="24"/>
        </w:rPr>
        <w:t xml:space="preserve">zostały </w:t>
      </w:r>
      <w:r w:rsidRPr="00456C86">
        <w:rPr>
          <w:rFonts w:eastAsiaTheme="minorHAnsi"/>
          <w:sz w:val="24"/>
          <w:szCs w:val="24"/>
        </w:rPr>
        <w:t>wyjaśnion</w:t>
      </w:r>
      <w:r w:rsidR="00605945">
        <w:rPr>
          <w:rFonts w:eastAsiaTheme="minorHAnsi"/>
          <w:sz w:val="24"/>
          <w:szCs w:val="24"/>
        </w:rPr>
        <w:t>e</w:t>
      </w:r>
      <w:r w:rsidR="001507BD">
        <w:rPr>
          <w:rFonts w:eastAsiaTheme="minorHAnsi"/>
          <w:sz w:val="24"/>
          <w:szCs w:val="24"/>
        </w:rPr>
        <w:t>.</w:t>
      </w:r>
    </w:p>
    <w:p w14:paraId="4D9F7C9E" w14:textId="0777C643" w:rsidR="003902C6" w:rsidRDefault="009D0087" w:rsidP="003902C6">
      <w:pPr>
        <w:spacing w:before="120" w:after="120"/>
        <w:jc w:val="both"/>
        <w:rPr>
          <w:rFonts w:eastAsiaTheme="minorHAnsi"/>
          <w:sz w:val="24"/>
          <w:szCs w:val="24"/>
        </w:rPr>
      </w:pPr>
      <w:r w:rsidRPr="00456C86">
        <w:rPr>
          <w:rFonts w:eastAsiaTheme="minorHAnsi"/>
          <w:sz w:val="24"/>
          <w:szCs w:val="24"/>
        </w:rPr>
        <w:t>Udostępnianie tytułu wykonawczego jest określonym w art. 27 § 2b pkt 6 ustawy z dnia 17</w:t>
      </w:r>
      <w:r w:rsidR="000623C1">
        <w:rPr>
          <w:rFonts w:eastAsiaTheme="minorHAnsi"/>
          <w:sz w:val="24"/>
          <w:szCs w:val="24"/>
        </w:rPr>
        <w:t> </w:t>
      </w:r>
      <w:r w:rsidRPr="00456C86">
        <w:rPr>
          <w:rFonts w:eastAsiaTheme="minorHAnsi"/>
          <w:sz w:val="24"/>
          <w:szCs w:val="24"/>
        </w:rPr>
        <w:t>czerwca 1966 r. o postępowaniu egzekucyjnym w administracji</w:t>
      </w:r>
      <w:r w:rsidR="003902C6">
        <w:rPr>
          <w:rFonts w:eastAsiaTheme="minorHAnsi"/>
          <w:sz w:val="24"/>
          <w:szCs w:val="24"/>
        </w:rPr>
        <w:t xml:space="preserve"> (Dz. U. z 2023 r. poz. 2505</w:t>
      </w:r>
      <w:r w:rsidR="00526788">
        <w:rPr>
          <w:rFonts w:eastAsiaTheme="minorHAnsi"/>
          <w:sz w:val="24"/>
          <w:szCs w:val="24"/>
        </w:rPr>
        <w:t xml:space="preserve">, z </w:t>
      </w:r>
      <w:proofErr w:type="spellStart"/>
      <w:r w:rsidR="00526788">
        <w:rPr>
          <w:rFonts w:eastAsiaTheme="minorHAnsi"/>
          <w:sz w:val="24"/>
          <w:szCs w:val="24"/>
        </w:rPr>
        <w:t>późn</w:t>
      </w:r>
      <w:proofErr w:type="spellEnd"/>
      <w:r w:rsidR="00526788">
        <w:rPr>
          <w:rFonts w:eastAsiaTheme="minorHAnsi"/>
          <w:sz w:val="24"/>
          <w:szCs w:val="24"/>
        </w:rPr>
        <w:t>. zm.</w:t>
      </w:r>
      <w:r w:rsidR="003902C6">
        <w:rPr>
          <w:rFonts w:eastAsiaTheme="minorHAnsi"/>
          <w:sz w:val="24"/>
          <w:szCs w:val="24"/>
        </w:rPr>
        <w:t>)</w:t>
      </w:r>
      <w:r w:rsidRPr="00456C86">
        <w:rPr>
          <w:rFonts w:eastAsiaTheme="minorHAnsi"/>
          <w:sz w:val="24"/>
          <w:szCs w:val="24"/>
        </w:rPr>
        <w:t xml:space="preserve"> sposobem posługiwania się tytułem wykonawczym.</w:t>
      </w:r>
      <w:r w:rsidR="003902C6">
        <w:rPr>
          <w:rFonts w:eastAsiaTheme="minorHAnsi"/>
          <w:sz w:val="24"/>
          <w:szCs w:val="24"/>
        </w:rPr>
        <w:t xml:space="preserve"> </w:t>
      </w:r>
    </w:p>
    <w:p w14:paraId="48877A7B" w14:textId="5432812C" w:rsidR="003902C6" w:rsidRPr="00FD4167" w:rsidRDefault="003902C6" w:rsidP="003902C6">
      <w:pPr>
        <w:spacing w:before="120" w:after="120"/>
        <w:jc w:val="both"/>
        <w:rPr>
          <w:bCs/>
          <w:sz w:val="24"/>
          <w:szCs w:val="24"/>
        </w:rPr>
      </w:pPr>
      <w:r w:rsidRPr="00C80F84">
        <w:rPr>
          <w:bCs/>
          <w:sz w:val="24"/>
          <w:szCs w:val="24"/>
        </w:rPr>
        <w:t>Treść elektronicznego tytułu wykonawczego może być udostępniana na żądanie np.</w:t>
      </w:r>
      <w:r w:rsidR="00FD4167">
        <w:rPr>
          <w:bCs/>
          <w:sz w:val="24"/>
          <w:szCs w:val="24"/>
        </w:rPr>
        <w:t> </w:t>
      </w:r>
      <w:r w:rsidRPr="00C80F84">
        <w:rPr>
          <w:bCs/>
          <w:sz w:val="24"/>
          <w:szCs w:val="24"/>
        </w:rPr>
        <w:t>zobowiązanego, jego małżonka, jeżeli zgodnie z odrębnymi przepisami odpowiedzialność zobowiązanego za należność pieniężną i</w:t>
      </w:r>
      <w:r w:rsidR="001507BD">
        <w:rPr>
          <w:bCs/>
          <w:sz w:val="24"/>
          <w:szCs w:val="24"/>
        </w:rPr>
        <w:t xml:space="preserve"> </w:t>
      </w:r>
      <w:r w:rsidRPr="00C80F84">
        <w:rPr>
          <w:bCs/>
          <w:sz w:val="24"/>
          <w:szCs w:val="24"/>
        </w:rPr>
        <w:t>odsetki z tytułu niezapłacenia jej</w:t>
      </w:r>
      <w:r w:rsidR="001507BD">
        <w:rPr>
          <w:bCs/>
          <w:sz w:val="24"/>
          <w:szCs w:val="24"/>
        </w:rPr>
        <w:t xml:space="preserve"> </w:t>
      </w:r>
      <w:r w:rsidRPr="00C80F84">
        <w:rPr>
          <w:bCs/>
          <w:sz w:val="24"/>
          <w:szCs w:val="24"/>
        </w:rPr>
        <w:t>w</w:t>
      </w:r>
      <w:r w:rsidR="001507BD">
        <w:rPr>
          <w:bCs/>
          <w:sz w:val="24"/>
          <w:szCs w:val="24"/>
        </w:rPr>
        <w:t xml:space="preserve"> </w:t>
      </w:r>
      <w:r w:rsidRPr="00C80F84">
        <w:rPr>
          <w:bCs/>
          <w:sz w:val="24"/>
          <w:szCs w:val="24"/>
        </w:rPr>
        <w:t>terminie obejmuje majątek osobisty zobowiązanego i</w:t>
      </w:r>
      <w:r w:rsidR="001507BD">
        <w:rPr>
          <w:bCs/>
          <w:sz w:val="24"/>
          <w:szCs w:val="24"/>
        </w:rPr>
        <w:t xml:space="preserve"> </w:t>
      </w:r>
      <w:r w:rsidRPr="00C80F84">
        <w:rPr>
          <w:bCs/>
          <w:sz w:val="24"/>
          <w:szCs w:val="24"/>
        </w:rPr>
        <w:t>majątek wspólny, dłużnika rzeczowego</w:t>
      </w:r>
      <w:r w:rsidR="00526788">
        <w:rPr>
          <w:bCs/>
          <w:sz w:val="24"/>
          <w:szCs w:val="24"/>
        </w:rPr>
        <w:t>.</w:t>
      </w:r>
      <w:r w:rsidRPr="00C80F84">
        <w:rPr>
          <w:bCs/>
          <w:sz w:val="24"/>
          <w:szCs w:val="24"/>
        </w:rPr>
        <w:t xml:space="preserve"> </w:t>
      </w:r>
      <w:r w:rsidR="00526788">
        <w:rPr>
          <w:bCs/>
          <w:sz w:val="24"/>
          <w:szCs w:val="24"/>
        </w:rPr>
        <w:t xml:space="preserve">Może być również udostępniona na żądanie </w:t>
      </w:r>
      <w:r w:rsidR="00526788" w:rsidRPr="00526788">
        <w:rPr>
          <w:bCs/>
          <w:sz w:val="24"/>
          <w:szCs w:val="24"/>
        </w:rPr>
        <w:t>podmiotu niebędącego zobowiązanym, który uzyskał korzyść majątkową wskutek czynności prawnej dokonanej z pokrzywdzeniem wierzyciela, jeżeli</w:t>
      </w:r>
      <w:r w:rsidR="00FD4167">
        <w:rPr>
          <w:bCs/>
          <w:sz w:val="24"/>
          <w:szCs w:val="24"/>
        </w:rPr>
        <w:t> </w:t>
      </w:r>
      <w:r w:rsidR="00526788" w:rsidRPr="00526788">
        <w:rPr>
          <w:bCs/>
          <w:sz w:val="24"/>
          <w:szCs w:val="24"/>
        </w:rPr>
        <w:t>zgodnie z odrębnymi przepisami czynność ta została uznana za bezskuteczną wobec tego wierzyciela, zwanego</w:t>
      </w:r>
      <w:r w:rsidR="00526788">
        <w:rPr>
          <w:bCs/>
          <w:sz w:val="24"/>
          <w:szCs w:val="24"/>
        </w:rPr>
        <w:t xml:space="preserve"> </w:t>
      </w:r>
      <w:r w:rsidR="00526788" w:rsidRPr="00526788">
        <w:rPr>
          <w:bCs/>
          <w:sz w:val="24"/>
          <w:szCs w:val="24"/>
        </w:rPr>
        <w:t>,,podmiotem, który uzyskał korzyść majątkową</w:t>
      </w:r>
      <w:r w:rsidR="00526788">
        <w:rPr>
          <w:bCs/>
          <w:sz w:val="24"/>
          <w:szCs w:val="24"/>
        </w:rPr>
        <w:t xml:space="preserve">”. </w:t>
      </w:r>
      <w:r w:rsidRPr="00C80F84">
        <w:rPr>
          <w:bCs/>
          <w:sz w:val="24"/>
          <w:szCs w:val="24"/>
        </w:rPr>
        <w:t>Także</w:t>
      </w:r>
      <w:r>
        <w:rPr>
          <w:bCs/>
          <w:sz w:val="24"/>
          <w:szCs w:val="24"/>
        </w:rPr>
        <w:t> </w:t>
      </w:r>
      <w:r w:rsidRPr="00C80F84">
        <w:rPr>
          <w:bCs/>
          <w:sz w:val="24"/>
          <w:szCs w:val="24"/>
        </w:rPr>
        <w:t>na</w:t>
      </w:r>
      <w:r>
        <w:rPr>
          <w:bCs/>
          <w:sz w:val="24"/>
          <w:szCs w:val="24"/>
        </w:rPr>
        <w:t> </w:t>
      </w:r>
      <w:r w:rsidRPr="00C80F84">
        <w:rPr>
          <w:bCs/>
          <w:sz w:val="24"/>
          <w:szCs w:val="24"/>
        </w:rPr>
        <w:t>podstawie odrębnych przepisów różne podmioty, np. organy administracji publicznej, w tym organy kontroli i sądy są uprawnione do żądania dokumentów dotyczących postępowania egzekucyjnego, w tym tytułów wykonawczych.</w:t>
      </w:r>
    </w:p>
    <w:p w14:paraId="4D805875" w14:textId="10729E46" w:rsidR="009D0087" w:rsidRPr="00456C86" w:rsidRDefault="009D0087" w:rsidP="000623C1">
      <w:pPr>
        <w:autoSpaceDE w:val="0"/>
        <w:autoSpaceDN w:val="0"/>
        <w:adjustRightInd w:val="0"/>
        <w:spacing w:before="120" w:after="120"/>
        <w:jc w:val="both"/>
        <w:rPr>
          <w:rFonts w:eastAsiaTheme="minorHAnsi"/>
          <w:sz w:val="24"/>
          <w:szCs w:val="24"/>
        </w:rPr>
      </w:pPr>
    </w:p>
    <w:p w14:paraId="01075CEC" w14:textId="67770D05" w:rsidR="00087CD3" w:rsidRPr="003902C6" w:rsidRDefault="009D0087" w:rsidP="003902C6">
      <w:pPr>
        <w:spacing w:before="120" w:after="120"/>
        <w:jc w:val="both"/>
        <w:rPr>
          <w:sz w:val="24"/>
          <w:szCs w:val="24"/>
        </w:rPr>
      </w:pPr>
      <w:r w:rsidRPr="00456C86">
        <w:rPr>
          <w:rFonts w:eastAsiaTheme="minorHAnsi"/>
          <w:sz w:val="24"/>
          <w:szCs w:val="24"/>
        </w:rPr>
        <w:t xml:space="preserve">Kwestie doręczania odpisów tytułów wykonawczych drogą elektroniczną reguluje art. 26 § 5c w zw. z art. 17c </w:t>
      </w:r>
      <w:r w:rsidRPr="00C80F84">
        <w:rPr>
          <w:bCs/>
          <w:sz w:val="24"/>
          <w:szCs w:val="24"/>
        </w:rPr>
        <w:t>ustawy z dnia 17</w:t>
      </w:r>
      <w:r w:rsidR="001507BD">
        <w:rPr>
          <w:bCs/>
          <w:sz w:val="24"/>
          <w:szCs w:val="24"/>
        </w:rPr>
        <w:t xml:space="preserve"> </w:t>
      </w:r>
      <w:r w:rsidRPr="00C80F84">
        <w:rPr>
          <w:bCs/>
          <w:sz w:val="24"/>
          <w:szCs w:val="24"/>
        </w:rPr>
        <w:t>czerwca 1966 r. o postępowaniu egzekucyjnym w</w:t>
      </w:r>
      <w:r w:rsidR="000623C1">
        <w:rPr>
          <w:bCs/>
          <w:sz w:val="24"/>
          <w:szCs w:val="24"/>
        </w:rPr>
        <w:t> </w:t>
      </w:r>
      <w:r w:rsidRPr="00C80F84">
        <w:rPr>
          <w:bCs/>
          <w:sz w:val="24"/>
          <w:szCs w:val="24"/>
        </w:rPr>
        <w:t>administracji</w:t>
      </w:r>
      <w:r w:rsidRPr="00456C86">
        <w:rPr>
          <w:rFonts w:eastAsiaTheme="minorHAnsi"/>
          <w:sz w:val="24"/>
          <w:szCs w:val="24"/>
        </w:rPr>
        <w:t>.</w:t>
      </w:r>
      <w:r w:rsidR="00C436F0" w:rsidRPr="00456C86">
        <w:rPr>
          <w:rFonts w:eastAsiaTheme="minorHAnsi"/>
          <w:sz w:val="24"/>
          <w:szCs w:val="24"/>
        </w:rPr>
        <w:t xml:space="preserve"> </w:t>
      </w:r>
      <w:r w:rsidR="00C436F0" w:rsidRPr="00456C86">
        <w:rPr>
          <w:sz w:val="24"/>
          <w:szCs w:val="24"/>
        </w:rPr>
        <w:t>Od dnia wprowadzenia obowiązku stosowania Krajowego Systemu Doręczeń Elektronicznych, w ramach usługi PURDE odpis tytułu wykonawczego doręczany będzie w</w:t>
      </w:r>
      <w:r w:rsidR="000623C1">
        <w:rPr>
          <w:sz w:val="24"/>
          <w:szCs w:val="24"/>
        </w:rPr>
        <w:t> </w:t>
      </w:r>
      <w:r w:rsidR="00C436F0" w:rsidRPr="00456C86">
        <w:rPr>
          <w:sz w:val="24"/>
          <w:szCs w:val="24"/>
        </w:rPr>
        <w:t>formacie pliku pdf, zgodnie z</w:t>
      </w:r>
      <w:r w:rsidR="001507BD">
        <w:rPr>
          <w:sz w:val="24"/>
          <w:szCs w:val="24"/>
        </w:rPr>
        <w:t xml:space="preserve"> </w:t>
      </w:r>
      <w:r w:rsidR="00C436F0" w:rsidRPr="00456C86">
        <w:rPr>
          <w:sz w:val="24"/>
          <w:szCs w:val="24"/>
        </w:rPr>
        <w:t>załącznikiem nr 1 do Regulaminu świadczenia publicznej usługi rejestrowanego doręczenia elektronicznego i publicznej usługi hybrydowej.</w:t>
      </w:r>
      <w:r w:rsidR="003902C6">
        <w:rPr>
          <w:sz w:val="24"/>
          <w:szCs w:val="24"/>
        </w:rPr>
        <w:t xml:space="preserve"> Pod</w:t>
      </w:r>
      <w:r w:rsidR="00B847B5">
        <w:rPr>
          <w:sz w:val="24"/>
          <w:szCs w:val="24"/>
        </w:rPr>
        <w:t> </w:t>
      </w:r>
      <w:r w:rsidR="003902C6">
        <w:rPr>
          <w:sz w:val="24"/>
          <w:szCs w:val="24"/>
        </w:rPr>
        <w:t>pojęciem udostępniania nie mieści się doręczanie tytułu wykonawczego.</w:t>
      </w:r>
    </w:p>
    <w:p w14:paraId="357E4F70" w14:textId="4D062D58" w:rsidR="00C436F0" w:rsidRPr="00456C86" w:rsidRDefault="00B847B5" w:rsidP="00087CD3">
      <w:pPr>
        <w:autoSpaceDE w:val="0"/>
        <w:autoSpaceDN w:val="0"/>
        <w:adjustRightInd w:val="0"/>
        <w:spacing w:before="120" w:after="120"/>
        <w:jc w:val="both"/>
        <w:rPr>
          <w:rFonts w:eastAsiaTheme="minorHAnsi"/>
          <w:sz w:val="24"/>
          <w:szCs w:val="24"/>
        </w:rPr>
      </w:pPr>
      <w:r w:rsidRPr="00B847B5">
        <w:rPr>
          <w:rFonts w:eastAsiaTheme="minorHAnsi"/>
          <w:sz w:val="24"/>
          <w:szCs w:val="24"/>
        </w:rPr>
        <w:t>Przepis § 4 pkt 1 projektu rozporządzenia wykonuje delegację ustawową z art. 27 § 2b pkt 3</w:t>
      </w:r>
      <w:r>
        <w:rPr>
          <w:rFonts w:eastAsiaTheme="minorHAnsi"/>
          <w:sz w:val="24"/>
          <w:szCs w:val="24"/>
        </w:rPr>
        <w:t xml:space="preserve"> ww. ustawy</w:t>
      </w:r>
      <w:r w:rsidRPr="00B847B5">
        <w:rPr>
          <w:rFonts w:eastAsiaTheme="minorHAnsi"/>
          <w:sz w:val="24"/>
          <w:szCs w:val="24"/>
        </w:rPr>
        <w:t>, zgodnie z którą rozporządzenie określa szczegółowy sposób przekazywania do</w:t>
      </w:r>
      <w:r>
        <w:rPr>
          <w:rFonts w:eastAsiaTheme="minorHAnsi"/>
          <w:sz w:val="24"/>
          <w:szCs w:val="24"/>
        </w:rPr>
        <w:t> </w:t>
      </w:r>
      <w:r w:rsidRPr="00B847B5">
        <w:rPr>
          <w:rFonts w:eastAsiaTheme="minorHAnsi"/>
          <w:sz w:val="24"/>
          <w:szCs w:val="24"/>
        </w:rPr>
        <w:t>organu egzekucyjnego wniosku egzekucyjnego, tytułu wykonawczego oraz informacji, o</w:t>
      </w:r>
      <w:r>
        <w:rPr>
          <w:rFonts w:eastAsiaTheme="minorHAnsi"/>
          <w:sz w:val="24"/>
          <w:szCs w:val="24"/>
        </w:rPr>
        <w:t> </w:t>
      </w:r>
      <w:r w:rsidRPr="00B847B5">
        <w:rPr>
          <w:rFonts w:eastAsiaTheme="minorHAnsi"/>
          <w:sz w:val="24"/>
          <w:szCs w:val="24"/>
        </w:rPr>
        <w:t>której mowa w</w:t>
      </w:r>
      <w:r w:rsidR="001507BD">
        <w:rPr>
          <w:rFonts w:eastAsiaTheme="minorHAnsi"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 xml:space="preserve">art. 26 </w:t>
      </w:r>
      <w:r w:rsidRPr="00456C86">
        <w:rPr>
          <w:rFonts w:eastAsiaTheme="minorHAnsi"/>
          <w:sz w:val="24"/>
          <w:szCs w:val="24"/>
        </w:rPr>
        <w:t>§</w:t>
      </w:r>
      <w:r>
        <w:rPr>
          <w:rFonts w:eastAsiaTheme="minorHAnsi"/>
          <w:sz w:val="24"/>
          <w:szCs w:val="24"/>
        </w:rPr>
        <w:t xml:space="preserve"> 1e ww. </w:t>
      </w:r>
      <w:r w:rsidRPr="00B847B5">
        <w:rPr>
          <w:rFonts w:eastAsiaTheme="minorHAnsi"/>
          <w:sz w:val="24"/>
          <w:szCs w:val="24"/>
        </w:rPr>
        <w:t>ustawy. Przepis nie reguluje przekazywania tych dokumentów do organu egzekucyjnego będącego jednocześnie wierzycielem w danej sprawie.</w:t>
      </w:r>
    </w:p>
    <w:p w14:paraId="7D80B9E1" w14:textId="790A29D2" w:rsidR="000A52B2" w:rsidRPr="00456C86" w:rsidRDefault="00605945" w:rsidP="000623C1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Uwagi strony samorządowej zostały wyjaśnione. </w:t>
      </w:r>
      <w:r w:rsidR="00420AF6" w:rsidRPr="00456C86">
        <w:rPr>
          <w:sz w:val="24"/>
          <w:szCs w:val="24"/>
        </w:rPr>
        <w:t>Pozost</w:t>
      </w:r>
      <w:r w:rsidR="00834940" w:rsidRPr="00456C86">
        <w:rPr>
          <w:sz w:val="24"/>
          <w:szCs w:val="24"/>
        </w:rPr>
        <w:t>ałe podmioty nie zgłosiły uwag.</w:t>
      </w:r>
    </w:p>
    <w:p w14:paraId="4E67F2EF" w14:textId="77777777" w:rsidR="00B5155B" w:rsidRPr="00456C86" w:rsidRDefault="00B5155B" w:rsidP="000623C1">
      <w:pPr>
        <w:autoSpaceDE w:val="0"/>
        <w:autoSpaceDN w:val="0"/>
        <w:adjustRightInd w:val="0"/>
        <w:spacing w:before="120" w:after="120"/>
        <w:jc w:val="both"/>
        <w:rPr>
          <w:sz w:val="24"/>
          <w:szCs w:val="24"/>
        </w:rPr>
      </w:pPr>
      <w:r w:rsidRPr="00456C86">
        <w:rPr>
          <w:rFonts w:eastAsiaTheme="minorHAnsi"/>
          <w:b/>
          <w:sz w:val="24"/>
          <w:szCs w:val="24"/>
          <w:lang w:eastAsia="en-US"/>
        </w:rPr>
        <w:t>2.</w:t>
      </w:r>
      <w:r w:rsidRPr="00456C86">
        <w:rPr>
          <w:rFonts w:eastAsiaTheme="minorHAnsi"/>
          <w:b/>
          <w:sz w:val="24"/>
          <w:szCs w:val="24"/>
          <w:lang w:eastAsia="en-US"/>
        </w:rPr>
        <w:tab/>
        <w:t>Przedstawienie wyników zasięgnięcia opinii, dokonania konsultacji albo</w:t>
      </w:r>
      <w:r w:rsidR="00D31147" w:rsidRPr="00456C86">
        <w:rPr>
          <w:rFonts w:eastAsiaTheme="minorHAnsi"/>
          <w:b/>
          <w:sz w:val="24"/>
          <w:szCs w:val="24"/>
          <w:lang w:eastAsia="en-US"/>
        </w:rPr>
        <w:t> </w:t>
      </w:r>
      <w:r w:rsidRPr="00456C86">
        <w:rPr>
          <w:rFonts w:eastAsiaTheme="minorHAnsi"/>
          <w:b/>
          <w:sz w:val="24"/>
          <w:szCs w:val="24"/>
          <w:lang w:eastAsia="en-US"/>
        </w:rPr>
        <w:t>uzgodnienia projektu z właściwymi organami i instytucjami Unii Europejskiej, w</w:t>
      </w:r>
      <w:r w:rsidR="00D31147" w:rsidRPr="00456C86">
        <w:rPr>
          <w:rFonts w:eastAsiaTheme="minorHAnsi"/>
          <w:b/>
          <w:sz w:val="24"/>
          <w:szCs w:val="24"/>
          <w:lang w:eastAsia="en-US"/>
        </w:rPr>
        <w:t> </w:t>
      </w:r>
      <w:r w:rsidRPr="00456C86">
        <w:rPr>
          <w:rFonts w:eastAsiaTheme="minorHAnsi"/>
          <w:b/>
          <w:sz w:val="24"/>
          <w:szCs w:val="24"/>
          <w:lang w:eastAsia="en-US"/>
        </w:rPr>
        <w:t>tym Europejskim Bankiem Centralnym.</w:t>
      </w:r>
    </w:p>
    <w:p w14:paraId="04DFA0F5" w14:textId="77777777" w:rsidR="00B5155B" w:rsidRPr="00456C86" w:rsidRDefault="00B5155B" w:rsidP="000623C1">
      <w:pPr>
        <w:autoSpaceDE w:val="0"/>
        <w:autoSpaceDN w:val="0"/>
        <w:adjustRightInd w:val="0"/>
        <w:spacing w:before="120" w:after="120"/>
        <w:jc w:val="both"/>
        <w:rPr>
          <w:rFonts w:eastAsiaTheme="minorHAnsi"/>
          <w:sz w:val="24"/>
          <w:szCs w:val="24"/>
          <w:lang w:eastAsia="en-US"/>
        </w:rPr>
      </w:pPr>
      <w:r w:rsidRPr="00456C86">
        <w:rPr>
          <w:rFonts w:eastAsiaTheme="minorHAnsi"/>
          <w:sz w:val="24"/>
          <w:szCs w:val="24"/>
          <w:lang w:eastAsia="en-US"/>
        </w:rPr>
        <w:t>Projekt rozporządzenia nie wymaga zasięgnięcia opinii, dokonania</w:t>
      </w:r>
      <w:r w:rsidR="00834940" w:rsidRPr="00456C86">
        <w:rPr>
          <w:rFonts w:eastAsiaTheme="minorHAnsi"/>
          <w:sz w:val="24"/>
          <w:szCs w:val="24"/>
          <w:lang w:eastAsia="en-US"/>
        </w:rPr>
        <w:t xml:space="preserve"> konsultacji ani uzgodnienia z </w:t>
      </w:r>
      <w:r w:rsidRPr="00456C86">
        <w:rPr>
          <w:rFonts w:eastAsiaTheme="minorHAnsi"/>
          <w:sz w:val="24"/>
          <w:szCs w:val="24"/>
          <w:lang w:eastAsia="en-US"/>
        </w:rPr>
        <w:t>właściwymi organami i instytucjami Unii Europejskiej, w tym Europejskim Bankiem Centralnym, zatem nie podlegał opiniowaniu, konsultacjom i uzgodnieniom z</w:t>
      </w:r>
      <w:r w:rsidR="00834940" w:rsidRPr="00456C86">
        <w:rPr>
          <w:rFonts w:eastAsiaTheme="minorHAnsi"/>
          <w:sz w:val="24"/>
          <w:szCs w:val="24"/>
          <w:lang w:eastAsia="en-US"/>
        </w:rPr>
        <w:t xml:space="preserve"> </w:t>
      </w:r>
      <w:r w:rsidRPr="00456C86">
        <w:rPr>
          <w:rFonts w:eastAsiaTheme="minorHAnsi"/>
          <w:sz w:val="24"/>
          <w:szCs w:val="24"/>
          <w:lang w:eastAsia="en-US"/>
        </w:rPr>
        <w:t>organami i</w:t>
      </w:r>
      <w:r w:rsidR="00834940" w:rsidRPr="00456C86">
        <w:rPr>
          <w:rFonts w:eastAsiaTheme="minorHAnsi"/>
          <w:sz w:val="24"/>
          <w:szCs w:val="24"/>
          <w:lang w:eastAsia="en-US"/>
        </w:rPr>
        <w:t> </w:t>
      </w:r>
      <w:r w:rsidRPr="00456C86">
        <w:rPr>
          <w:rFonts w:eastAsiaTheme="minorHAnsi"/>
          <w:sz w:val="24"/>
          <w:szCs w:val="24"/>
          <w:lang w:eastAsia="en-US"/>
        </w:rPr>
        <w:t>instytucjami Unii Europejskiej.</w:t>
      </w:r>
    </w:p>
    <w:p w14:paraId="122E7A39" w14:textId="77777777" w:rsidR="00B5155B" w:rsidRPr="00456C86" w:rsidRDefault="00B5155B" w:rsidP="000623C1">
      <w:pPr>
        <w:autoSpaceDE w:val="0"/>
        <w:autoSpaceDN w:val="0"/>
        <w:adjustRightInd w:val="0"/>
        <w:spacing w:before="120" w:after="120"/>
        <w:jc w:val="both"/>
        <w:rPr>
          <w:rFonts w:eastAsiaTheme="minorHAnsi"/>
          <w:b/>
          <w:sz w:val="24"/>
          <w:szCs w:val="24"/>
          <w:lang w:eastAsia="en-US"/>
        </w:rPr>
      </w:pPr>
      <w:r w:rsidRPr="00456C86">
        <w:rPr>
          <w:rFonts w:eastAsiaTheme="minorHAnsi"/>
          <w:b/>
          <w:sz w:val="24"/>
          <w:szCs w:val="24"/>
          <w:lang w:eastAsia="en-US"/>
        </w:rPr>
        <w:t>3.</w:t>
      </w:r>
      <w:r w:rsidRPr="00456C86">
        <w:rPr>
          <w:rFonts w:eastAsiaTheme="minorHAnsi"/>
          <w:b/>
          <w:sz w:val="24"/>
          <w:szCs w:val="24"/>
          <w:lang w:eastAsia="en-US"/>
        </w:rPr>
        <w:tab/>
        <w:t>Wskazanie podmiotów, które zgłosiły zainteresowanie pracami nad projektem w trybie przepisów o działalności lobbingowej w procesie stanowienia prawa, wraz ze wskazaniem kolejności dokonania zgłoszeń albo informacji o ich braku.</w:t>
      </w:r>
    </w:p>
    <w:p w14:paraId="1C139E6C" w14:textId="77777777" w:rsidR="00CE7DD8" w:rsidRPr="00456C86" w:rsidRDefault="00B5155B" w:rsidP="000623C1">
      <w:pPr>
        <w:spacing w:before="120" w:after="120"/>
        <w:jc w:val="both"/>
      </w:pPr>
      <w:r w:rsidRPr="00456C86">
        <w:rPr>
          <w:sz w:val="24"/>
          <w:szCs w:val="24"/>
        </w:rPr>
        <w:t>Żaden podmiot nie zgłosił zainteresowania pracami nad projektem rozporządzenia w trybie przepisów o działalności lobbingowej w procesie stanowienia prawa.</w:t>
      </w:r>
    </w:p>
    <w:sectPr w:rsidR="00CE7DD8" w:rsidRPr="00456C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925CC" w14:textId="77777777" w:rsidR="00D672C4" w:rsidRDefault="00D672C4" w:rsidP="00B5155B">
      <w:r>
        <w:separator/>
      </w:r>
    </w:p>
  </w:endnote>
  <w:endnote w:type="continuationSeparator" w:id="0">
    <w:p w14:paraId="0E43B1D6" w14:textId="77777777" w:rsidR="00D672C4" w:rsidRDefault="00D672C4" w:rsidP="00B51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2EC51" w14:textId="77777777" w:rsidR="00D672C4" w:rsidRDefault="00D672C4" w:rsidP="00B5155B">
      <w:r>
        <w:separator/>
      </w:r>
    </w:p>
  </w:footnote>
  <w:footnote w:type="continuationSeparator" w:id="0">
    <w:p w14:paraId="0F1FCB8E" w14:textId="77777777" w:rsidR="00D672C4" w:rsidRDefault="00D672C4" w:rsidP="00B515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10E4F"/>
    <w:multiLevelType w:val="hybridMultilevel"/>
    <w:tmpl w:val="B6B25AE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8B0BA6"/>
    <w:multiLevelType w:val="hybridMultilevel"/>
    <w:tmpl w:val="34E82198"/>
    <w:lvl w:ilvl="0" w:tplc="DCE6FD54">
      <w:start w:val="2"/>
      <w:numFmt w:val="decimal"/>
      <w:lvlText w:val="%1)"/>
      <w:lvlJc w:val="left"/>
      <w:pPr>
        <w:ind w:left="3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1" w:hanging="360"/>
      </w:pPr>
    </w:lvl>
    <w:lvl w:ilvl="2" w:tplc="0415001B" w:tentative="1">
      <w:start w:val="1"/>
      <w:numFmt w:val="lowerRoman"/>
      <w:lvlText w:val="%3."/>
      <w:lvlJc w:val="right"/>
      <w:pPr>
        <w:ind w:left="1791" w:hanging="180"/>
      </w:pPr>
    </w:lvl>
    <w:lvl w:ilvl="3" w:tplc="0415000F" w:tentative="1">
      <w:start w:val="1"/>
      <w:numFmt w:val="decimal"/>
      <w:lvlText w:val="%4."/>
      <w:lvlJc w:val="left"/>
      <w:pPr>
        <w:ind w:left="2511" w:hanging="360"/>
      </w:pPr>
    </w:lvl>
    <w:lvl w:ilvl="4" w:tplc="04150019" w:tentative="1">
      <w:start w:val="1"/>
      <w:numFmt w:val="lowerLetter"/>
      <w:lvlText w:val="%5."/>
      <w:lvlJc w:val="left"/>
      <w:pPr>
        <w:ind w:left="3231" w:hanging="360"/>
      </w:pPr>
    </w:lvl>
    <w:lvl w:ilvl="5" w:tplc="0415001B" w:tentative="1">
      <w:start w:val="1"/>
      <w:numFmt w:val="lowerRoman"/>
      <w:lvlText w:val="%6."/>
      <w:lvlJc w:val="right"/>
      <w:pPr>
        <w:ind w:left="3951" w:hanging="180"/>
      </w:pPr>
    </w:lvl>
    <w:lvl w:ilvl="6" w:tplc="0415000F" w:tentative="1">
      <w:start w:val="1"/>
      <w:numFmt w:val="decimal"/>
      <w:lvlText w:val="%7."/>
      <w:lvlJc w:val="left"/>
      <w:pPr>
        <w:ind w:left="4671" w:hanging="360"/>
      </w:pPr>
    </w:lvl>
    <w:lvl w:ilvl="7" w:tplc="04150019" w:tentative="1">
      <w:start w:val="1"/>
      <w:numFmt w:val="lowerLetter"/>
      <w:lvlText w:val="%8."/>
      <w:lvlJc w:val="left"/>
      <w:pPr>
        <w:ind w:left="5391" w:hanging="360"/>
      </w:pPr>
    </w:lvl>
    <w:lvl w:ilvl="8" w:tplc="0415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2" w15:restartNumberingAfterBreak="0">
    <w:nsid w:val="130679D6"/>
    <w:multiLevelType w:val="hybridMultilevel"/>
    <w:tmpl w:val="CD7C8D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DA608D"/>
    <w:multiLevelType w:val="hybridMultilevel"/>
    <w:tmpl w:val="B41048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85164B"/>
    <w:multiLevelType w:val="hybridMultilevel"/>
    <w:tmpl w:val="D3E0C81C"/>
    <w:lvl w:ilvl="0" w:tplc="EBB2CCAE">
      <w:start w:val="1"/>
      <w:numFmt w:val="decimal"/>
      <w:lvlText w:val="%1)"/>
      <w:lvlJc w:val="left"/>
      <w:pPr>
        <w:ind w:left="372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1B6561"/>
    <w:multiLevelType w:val="hybridMultilevel"/>
    <w:tmpl w:val="10828A50"/>
    <w:lvl w:ilvl="0" w:tplc="04150011">
      <w:start w:val="1"/>
      <w:numFmt w:val="decimal"/>
      <w:lvlText w:val="%1)"/>
      <w:lvlJc w:val="left"/>
      <w:pPr>
        <w:ind w:left="3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1" w:hanging="360"/>
      </w:pPr>
    </w:lvl>
    <w:lvl w:ilvl="2" w:tplc="0415001B" w:tentative="1">
      <w:start w:val="1"/>
      <w:numFmt w:val="lowerRoman"/>
      <w:lvlText w:val="%3."/>
      <w:lvlJc w:val="right"/>
      <w:pPr>
        <w:ind w:left="1791" w:hanging="180"/>
      </w:pPr>
    </w:lvl>
    <w:lvl w:ilvl="3" w:tplc="0415000F" w:tentative="1">
      <w:start w:val="1"/>
      <w:numFmt w:val="decimal"/>
      <w:lvlText w:val="%4."/>
      <w:lvlJc w:val="left"/>
      <w:pPr>
        <w:ind w:left="2511" w:hanging="360"/>
      </w:pPr>
    </w:lvl>
    <w:lvl w:ilvl="4" w:tplc="04150019" w:tentative="1">
      <w:start w:val="1"/>
      <w:numFmt w:val="lowerLetter"/>
      <w:lvlText w:val="%5."/>
      <w:lvlJc w:val="left"/>
      <w:pPr>
        <w:ind w:left="3231" w:hanging="360"/>
      </w:pPr>
    </w:lvl>
    <w:lvl w:ilvl="5" w:tplc="0415001B" w:tentative="1">
      <w:start w:val="1"/>
      <w:numFmt w:val="lowerRoman"/>
      <w:lvlText w:val="%6."/>
      <w:lvlJc w:val="right"/>
      <w:pPr>
        <w:ind w:left="3951" w:hanging="180"/>
      </w:pPr>
    </w:lvl>
    <w:lvl w:ilvl="6" w:tplc="0415000F" w:tentative="1">
      <w:start w:val="1"/>
      <w:numFmt w:val="decimal"/>
      <w:lvlText w:val="%7."/>
      <w:lvlJc w:val="left"/>
      <w:pPr>
        <w:ind w:left="4671" w:hanging="360"/>
      </w:pPr>
    </w:lvl>
    <w:lvl w:ilvl="7" w:tplc="04150019" w:tentative="1">
      <w:start w:val="1"/>
      <w:numFmt w:val="lowerLetter"/>
      <w:lvlText w:val="%8."/>
      <w:lvlJc w:val="left"/>
      <w:pPr>
        <w:ind w:left="5391" w:hanging="360"/>
      </w:pPr>
    </w:lvl>
    <w:lvl w:ilvl="8" w:tplc="0415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6" w15:restartNumberingAfterBreak="0">
    <w:nsid w:val="4D4642E4"/>
    <w:multiLevelType w:val="hybridMultilevel"/>
    <w:tmpl w:val="BA90A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55B"/>
    <w:rsid w:val="000377EF"/>
    <w:rsid w:val="0004028C"/>
    <w:rsid w:val="000623C1"/>
    <w:rsid w:val="00087CD3"/>
    <w:rsid w:val="000A015C"/>
    <w:rsid w:val="000A52B2"/>
    <w:rsid w:val="000A628C"/>
    <w:rsid w:val="000D6339"/>
    <w:rsid w:val="001507BD"/>
    <w:rsid w:val="0015350E"/>
    <w:rsid w:val="001B2F89"/>
    <w:rsid w:val="002075C2"/>
    <w:rsid w:val="00233B18"/>
    <w:rsid w:val="00242F6C"/>
    <w:rsid w:val="0027662E"/>
    <w:rsid w:val="002A1384"/>
    <w:rsid w:val="002C1CB8"/>
    <w:rsid w:val="002D7053"/>
    <w:rsid w:val="002E22AC"/>
    <w:rsid w:val="002E6A86"/>
    <w:rsid w:val="002F2FF1"/>
    <w:rsid w:val="003324B6"/>
    <w:rsid w:val="00352D31"/>
    <w:rsid w:val="0038204E"/>
    <w:rsid w:val="003902C6"/>
    <w:rsid w:val="003976BC"/>
    <w:rsid w:val="003A135B"/>
    <w:rsid w:val="003B0BC5"/>
    <w:rsid w:val="003C22AF"/>
    <w:rsid w:val="003C3D41"/>
    <w:rsid w:val="00402FB9"/>
    <w:rsid w:val="004121C4"/>
    <w:rsid w:val="00420AF6"/>
    <w:rsid w:val="004331F9"/>
    <w:rsid w:val="00456C86"/>
    <w:rsid w:val="004B146D"/>
    <w:rsid w:val="004C1880"/>
    <w:rsid w:val="004C5A4D"/>
    <w:rsid w:val="004F11BA"/>
    <w:rsid w:val="004F4EFD"/>
    <w:rsid w:val="0051250D"/>
    <w:rsid w:val="00526788"/>
    <w:rsid w:val="005318B5"/>
    <w:rsid w:val="00542874"/>
    <w:rsid w:val="00560DFC"/>
    <w:rsid w:val="00591E0A"/>
    <w:rsid w:val="005979A9"/>
    <w:rsid w:val="005A4FBE"/>
    <w:rsid w:val="005B218D"/>
    <w:rsid w:val="005B240A"/>
    <w:rsid w:val="005C3DD4"/>
    <w:rsid w:val="005E04C5"/>
    <w:rsid w:val="005F40D6"/>
    <w:rsid w:val="00605945"/>
    <w:rsid w:val="0061312C"/>
    <w:rsid w:val="00615406"/>
    <w:rsid w:val="00622E30"/>
    <w:rsid w:val="0064707F"/>
    <w:rsid w:val="0067187A"/>
    <w:rsid w:val="00674322"/>
    <w:rsid w:val="0068652C"/>
    <w:rsid w:val="006C6B74"/>
    <w:rsid w:val="0071255B"/>
    <w:rsid w:val="00741B3B"/>
    <w:rsid w:val="00783689"/>
    <w:rsid w:val="007B281E"/>
    <w:rsid w:val="007F401F"/>
    <w:rsid w:val="00817FB8"/>
    <w:rsid w:val="0082116D"/>
    <w:rsid w:val="00831635"/>
    <w:rsid w:val="00831B02"/>
    <w:rsid w:val="00834940"/>
    <w:rsid w:val="00861856"/>
    <w:rsid w:val="00872A66"/>
    <w:rsid w:val="00884FA7"/>
    <w:rsid w:val="0088527A"/>
    <w:rsid w:val="008C3092"/>
    <w:rsid w:val="008C7337"/>
    <w:rsid w:val="008C78F0"/>
    <w:rsid w:val="008D643E"/>
    <w:rsid w:val="009156B9"/>
    <w:rsid w:val="00915774"/>
    <w:rsid w:val="00915896"/>
    <w:rsid w:val="00917181"/>
    <w:rsid w:val="009322BF"/>
    <w:rsid w:val="00946FA0"/>
    <w:rsid w:val="00974E7B"/>
    <w:rsid w:val="009D0087"/>
    <w:rsid w:val="009D41D4"/>
    <w:rsid w:val="009D6BB0"/>
    <w:rsid w:val="009F3C0D"/>
    <w:rsid w:val="009F68FC"/>
    <w:rsid w:val="00A2523C"/>
    <w:rsid w:val="00A86965"/>
    <w:rsid w:val="00A94FDC"/>
    <w:rsid w:val="00AC3A9C"/>
    <w:rsid w:val="00AD0E9F"/>
    <w:rsid w:val="00AD46AA"/>
    <w:rsid w:val="00AE0658"/>
    <w:rsid w:val="00AE5727"/>
    <w:rsid w:val="00AF5CD6"/>
    <w:rsid w:val="00B16196"/>
    <w:rsid w:val="00B23446"/>
    <w:rsid w:val="00B330FE"/>
    <w:rsid w:val="00B42F55"/>
    <w:rsid w:val="00B5155B"/>
    <w:rsid w:val="00B52921"/>
    <w:rsid w:val="00B532B2"/>
    <w:rsid w:val="00B770DC"/>
    <w:rsid w:val="00B847B5"/>
    <w:rsid w:val="00BA42F0"/>
    <w:rsid w:val="00BB1738"/>
    <w:rsid w:val="00BC000B"/>
    <w:rsid w:val="00C05258"/>
    <w:rsid w:val="00C10309"/>
    <w:rsid w:val="00C31C1A"/>
    <w:rsid w:val="00C33620"/>
    <w:rsid w:val="00C363C2"/>
    <w:rsid w:val="00C436F0"/>
    <w:rsid w:val="00C80F84"/>
    <w:rsid w:val="00C91D0C"/>
    <w:rsid w:val="00CD3549"/>
    <w:rsid w:val="00CE2C9D"/>
    <w:rsid w:val="00CE7DD8"/>
    <w:rsid w:val="00D31147"/>
    <w:rsid w:val="00D53607"/>
    <w:rsid w:val="00D672C4"/>
    <w:rsid w:val="00D7223A"/>
    <w:rsid w:val="00D77A06"/>
    <w:rsid w:val="00D82208"/>
    <w:rsid w:val="00DA4F30"/>
    <w:rsid w:val="00DB18DC"/>
    <w:rsid w:val="00DC5A8C"/>
    <w:rsid w:val="00DE185F"/>
    <w:rsid w:val="00DE248D"/>
    <w:rsid w:val="00E11EDF"/>
    <w:rsid w:val="00F01DB1"/>
    <w:rsid w:val="00F07837"/>
    <w:rsid w:val="00F11A97"/>
    <w:rsid w:val="00F40099"/>
    <w:rsid w:val="00F84C0E"/>
    <w:rsid w:val="00F902B6"/>
    <w:rsid w:val="00F91CC6"/>
    <w:rsid w:val="00FB30D8"/>
    <w:rsid w:val="00FC06A7"/>
    <w:rsid w:val="00FC75C5"/>
    <w:rsid w:val="00FD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1F116D"/>
  <w15:chartTrackingRefBased/>
  <w15:docId w15:val="{439C62C6-2244-4A26-90D5-7FD2FE31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5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515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5155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155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5155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5155B"/>
    <w:rPr>
      <w:vertAlign w:val="superscript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3"/>
    <w:qFormat/>
    <w:rsid w:val="00B5155B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paragraph" w:customStyle="1" w:styleId="Default">
    <w:name w:val="Default"/>
    <w:rsid w:val="00D311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847B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847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E3037-4D9D-4D17-AD95-54697CD28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2</Pages>
  <Words>722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Finansów</Company>
  <LinksUpToDate>false</LinksUpToDate>
  <CharactersWithSpaces>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Czajka Elżbieta</dc:creator>
  <cp:keywords/>
  <dc:description/>
  <cp:lastModifiedBy>Rodziewicz Joanna</cp:lastModifiedBy>
  <cp:revision>34</cp:revision>
  <dcterms:created xsi:type="dcterms:W3CDTF">2023-09-06T13:37:00Z</dcterms:created>
  <dcterms:modified xsi:type="dcterms:W3CDTF">2024-01-18T14:33:00Z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UxC4dwLulzfINJ8nQH+xvX5LNGipWa4BRSZhPgxsCvlCE851pdQ2FSmwACsz9xirohkzJE5SwgUJHqz5sap/+w==</vt:lpwstr>
  </property>
  <property fmtid="{D5CDD505-2E9C-101B-9397-08002B2CF9AE}" pid="4" name="MFClassificationDate">
    <vt:lpwstr>2022-08-26T15:38:36.5715387+02:00</vt:lpwstr>
  </property>
  <property fmtid="{D5CDD505-2E9C-101B-9397-08002B2CF9AE}" pid="5" name="MFClassifiedBySID">
    <vt:lpwstr>UxC4dwLulzfINJ8nQH+xvX5LNGipWa4BRSZhPgxsCvm42mrIC/DSDv0ggS+FjUN/2v1BBotkLlY5aAiEhoi6uXOiSsuBa4rhJe5cgiQ6QSKbztYTRU64oNVo5FOO7pYR</vt:lpwstr>
  </property>
  <property fmtid="{D5CDD505-2E9C-101B-9397-08002B2CF9AE}" pid="6" name="MFGRNItemId">
    <vt:lpwstr>GRN-4f011c1d-1a6a-4d41-b71c-5f6a344337d6</vt:lpwstr>
  </property>
  <property fmtid="{D5CDD505-2E9C-101B-9397-08002B2CF9AE}" pid="7" name="MFHash">
    <vt:lpwstr>JLkAMaHEjsEODluq+/RaTBzC6AUey7qxBhD9pUsKtXw=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